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svg" ContentType="image/svg+xml"/>
  <Default Extension="xml" ContentType="application/xml"/>
  <Default Extension="jpg" ContentType="application/octet-stream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m="http://schemas.openxmlformats.org/officeDocument/2006/math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 xmlns:a14="http://schemas.microsoft.com/office/drawing/2010/main" xmlns:asvg="http://schemas.microsoft.com/office/drawing/2016/SVG/main">
  <w:body>
    <w:p>
      <w:pPr>
        <w:spacing w:line="360" w:after="0" w:lineRule="auto"/>
      </w:pPr>
      <w:r>
        <w:rPr>
          <w:rFonts w:eastAsia="inter" w:cs="inter" w:ascii="inter" w:hAnsi="inter"/>
          <w:color w:val="000000"/>
        </w:rPr>
        <w:drawing>
          <wp:inline distB="0" distL="0" distR="0" distT="0">
            <wp:extent cx="2420112" cy="609600"/>
            <wp:effectExtent b="0" l="0" r="0" t="0"/>
            <wp:docPr id="1" name="image-5d51575e983286eaf2e49201855119a8bebb3151.png"/>
            <a:graphic>
              <a:graphicData uri="http://schemas.openxmlformats.org/drawingml/2006/picture">
                <pic:pic>
                  <pic:nvPicPr>
                    <pic:cNvPr id="1" name="image-5d51575e983286eaf2e49201855119a8bebb3151.png" descr=""/>
                    <pic:cNvPicPr/>
                  </pic:nvPicPr>
                  <pic:blipFill>
                    <a:blip r:embed="rId5" cstate="print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0112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pacing w:line="270" w:before="157.5" w:after="157.5" w:lineRule="auto"/>
        <w:jc w:val="left"/>
      </w:pPr>
      <w:bookmarkStart w:id="0" w:name="sur_la_base_des_deux_extractions_751e14"/>
      <w:r>
        <w:rPr>
          <w:rFonts w:eastAsia="inter" w:cs="inter" w:ascii="inter" w:hAnsi="inter"/>
          <w:b/>
          <w:color w:val="000000"/>
          <w:sz w:val="39"/>
        </w:rPr>
        <w:t xml:space="preserve">Sur la base des deux extractions de données jointes et du document décrivant le projet étudiant, donnes moi la meilleure méthode pour réaliser ce projet avec </w:t>
      </w:r>
      <w:hyperlink r:id="rId6">
        <w:r>
          <w:rPr>
            <w:rFonts w:eastAsia="inter" w:cs="inter" w:ascii="inter" w:hAnsi="inter"/>
            <w:b/>
            <w:color w:val="#000"/>
            <w:sz w:val="39"/>
            <w:u w:val="single"/>
          </w:rPr>
          <w:t xml:space="preserve">Perplexity.ai</w:t>
        </w:r>
      </w:hyperlink>
      <w:r>
        <w:rPr>
          <w:rFonts w:eastAsia="inter" w:cs="inter" w:ascii="inter" w:hAnsi="inter"/>
          <w:b/>
          <w:color w:val="000000"/>
          <w:sz w:val="39"/>
        </w:rPr>
        <w:t xml:space="preserve"> et décrivant, étape par étape, les prompts que je dois créer pour résoudre tous le projet.</w:t>
      </w:r>
      <w:bookmarkEnd w:id="0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Basé sur l'analyse des extractions et du document projet, voici la </w:t>
      </w:r>
      <w:r>
        <w:rPr>
          <w:rFonts w:eastAsia="inter" w:cs="inter" w:ascii="inter" w:hAnsi="inter"/>
          <w:b/>
          <w:color w:val="000000"/>
        </w:rPr>
        <w:t xml:space="preserve">méthode optimale structurée via l'approche ReAct</w:t>
      </w:r>
      <w:r>
        <w:rPr>
          <w:rFonts w:eastAsia="inter" w:cs="inter" w:ascii="inter" w:hAnsi="inter"/>
          <w:color w:val="000000"/>
        </w:rPr>
        <w:t xml:space="preserve"> pour réaliser ce projet avec </w:t>
      </w:r>
      <w:hyperlink r:id="rId7">
        <w:r>
          <w:rPr>
            <w:rFonts w:eastAsia="inter" w:cs="inter" w:ascii="inter" w:hAnsi="inter"/>
            <w:color w:val="#000"/>
            <w:u w:val="single"/>
          </w:rPr>
          <w:t xml:space="preserve">Perplexity.ai</w:t>
        </w:r>
      </w:hyperlink>
      <w:r>
        <w:rPr>
          <w:rFonts w:eastAsia="inter" w:cs="inter" w:ascii="inter" w:hAnsi="inter"/>
          <w:color w:val="000000"/>
        </w:rPr>
        <w:t xml:space="preserve">, avec les prompts détaillés étape par étape.</w:t>
      </w:r>
      <w:bookmarkStart w:id="1" w:name="fnref1"/>
      <w:bookmarkEnd w:id="1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bookmarkStart w:id="2" w:name="fnref2"/>
      <w:bookmarkEnd w:id="2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3" w:name="réflexion_initiale_analyse_du_pro_c56c29"/>
      <w:r>
        <w:rPr>
          <w:rFonts w:eastAsia="inter" w:cs="inter" w:ascii="inter" w:hAnsi="inter"/>
          <w:b/>
          <w:color w:val="000000"/>
          <w:sz w:val="24"/>
        </w:rPr>
        <w:t xml:space="preserve">RÉFLEXION INITIALE : Analyse du Projet et Stratégie </w:t>
      </w:r>
      <w:hyperlink r:id="rId8">
        <w:r>
          <w:rPr>
            <w:rFonts w:eastAsia="inter" w:cs="inter" w:ascii="inter" w:hAnsi="inter"/>
            <w:b/>
            <w:color w:val="#000"/>
            <w:sz w:val="24"/>
            <w:u w:val="single"/>
          </w:rPr>
          <w:t xml:space="preserve">Perplexity.ai</w:t>
        </w:r>
      </w:hyperlink>
      <w:bookmarkEnd w:id="3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Le projet nécessite trois compétences majeures où </w:t>
      </w:r>
      <w:hyperlink r:id="rId9">
        <w:r>
          <w:rPr>
            <w:rFonts w:eastAsia="inter" w:cs="inter" w:ascii="inter" w:hAnsi="inter"/>
            <w:color w:val="#000"/>
            <w:u w:val="single"/>
          </w:rPr>
          <w:t xml:space="preserve">Perplexity.ai</w:t>
        </w:r>
      </w:hyperlink>
      <w:r>
        <w:rPr>
          <w:rFonts w:eastAsia="inter" w:cs="inter" w:ascii="inter" w:hAnsi="inter"/>
          <w:color w:val="000000"/>
        </w:rPr>
        <w:t xml:space="preserve"> excelle : recherche de données nucléaires actualisées (bases NNDC, NIST, EXFOR), validation méthodologique via littérature scientifique, et synthèse comparative multi-sources. La stratégie optimale consiste à décomposer le projet en 7 phases séquentielles, chacune avec des prompts spécifiques exploitant les capacités de recherche web et d'analyse de </w:t>
      </w:r>
      <w:hyperlink r:id="rId10">
        <w:r>
          <w:rPr>
            <w:rFonts w:eastAsia="inter" w:cs="inter" w:ascii="inter" w:hAnsi="inter"/>
            <w:color w:val="#000"/>
            <w:u w:val="single"/>
          </w:rPr>
          <w:t xml:space="preserve">Perplexity.ai</w:t>
        </w:r>
      </w:hyperlink>
      <w:r>
        <w:rPr>
          <w:rFonts w:eastAsia="inter" w:cs="inter" w:ascii="inter" w:hAnsi="inter"/>
          <w:color w:val="000000"/>
        </w:rPr>
        <w:t xml:space="preserve">.</w:t>
      </w:r>
      <w:bookmarkStart w:id="4" w:name="fnref2_1"/>
      <w:bookmarkEnd w:id="4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  <w:bookmarkStart w:id="5" w:name="fnref1_1"/>
      <w:bookmarkEnd w:id="5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6" w:name="phase_1_collecte_données_nucléair_524136"/>
      <w:r>
        <w:rPr>
          <w:rFonts w:eastAsia="inter" w:cs="inter" w:ascii="inter" w:hAnsi="inter"/>
          <w:b/>
          <w:color w:val="000000"/>
          <w:sz w:val="24"/>
        </w:rPr>
        <w:t xml:space="preserve">PHASE 1 : Collecte Données Nucléaires (Radioéléments)</w:t>
      </w:r>
      <w:bookmarkEnd w:id="6"/>
    </w:p>
    <w:p>
      <w:pPr>
        <w:spacing w:line="360" w:before="315" w:after="105" w:lineRule="auto"/>
        <w:ind w:left="-30"/>
        <w:jc w:val="left"/>
      </w:pPr>
      <w:bookmarkStart w:id="7" w:name="étape_1_1_propriétés_nucléaires_cuve_n_1"/>
      <w:r>
        <w:rPr>
          <w:rFonts w:eastAsia="inter" w:cs="inter" w:ascii="inter" w:hAnsi="inter"/>
          <w:b/>
          <w:color w:val="000000"/>
          <w:sz w:val="24"/>
        </w:rPr>
        <w:t xml:space="preserve">Étape 1.1 - Propriétés Nucléaires Cuve n°1</w:t>
      </w:r>
      <w:bookmarkEnd w:id="7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1A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Pour chacun des radioéléments suivants : Sr-82, Sr-83, Sr-85, Rb-86, Rb-84, Rb-83, Rb-82, Kr-83m, extrais depuis la base de données NNDC (https://www.nndc.bnl.gov/nudat2/) les propriétés suivantes au format tableau :</w:t>
        <w:br/>
        <w:t xml:space="preserve">- Période radioactive (demi-vie)</w:t>
        <w:br/>
        <w:t xml:space="preserve">- Mode(s) de désintégration</w:t>
        <w:br/>
        <w:t xml:space="preserve">- Énergies des rayonnements gamma (keV) et intensités (%)</w:t>
        <w:br/>
        <w:t xml:space="preserve">- Filiations radioactives (noyaux fils)</w:t>
        <w:br/>
        <w:t xml:space="preserve">- Date de la dernière mise à jour des données</w:t>
        <w:br/>
        <w:t xml:space="preserve"/>
        <w:br/>
        <w:t xml:space="preserve">Organise les résultats en tableau comparatif avec citations des sources NNDC.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1B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Calcule la décroissance radioactive au temps T0 (date d'arrêt exploitation) pour les radioéléments de la cuve n°1, sachant que 3 incidents ont eu lieu à T0-40 mois, T0-23 mois et T0-3 mois. Pour chaque radioélément (Sr-82, Sr-83, Sr-85, Rb-86, Rb-84, Rb-83, Rb-82, Kr-83m), applique la loi de décroissance exponentielle avec les compositions initiales données :</w:t>
        <w:br/>
        <w:t xml:space="preserve">Sr-82=343 mCi, Sr-83=0 mCi, Sr-85=504 mCi, Rb-86=15 mCi, Rb-84=762 mCi, Rb-83=490 mCi, Rb-82=343 mCi, Kr-83m=490 mCi.</w:t>
        <w:br/>
        <w:t xml:space="preserve"/>
        <w:br/>
        <w:t xml:space="preserve">Présente les activités résiduelles à T0 en Bq et mCi.</w:t>
        <w:br/>
        <w:t xml:space="preserve"/>
      </w:r>
    </w:p>
    <w:p>
      <w:pPr>
        <w:spacing w:line="360" w:before="315" w:after="105" w:lineRule="auto"/>
        <w:ind w:left="-30"/>
        <w:jc w:val="left"/>
      </w:pPr>
      <w:bookmarkStart w:id="8" w:name="étape_1_2_propriétés_nucléaires_cuve_n_2"/>
      <w:r>
        <w:rPr>
          <w:rFonts w:eastAsia="inter" w:cs="inter" w:ascii="inter" w:hAnsi="inter"/>
          <w:b/>
          <w:color w:val="000000"/>
          <w:sz w:val="24"/>
        </w:rPr>
        <w:t xml:space="preserve">Étape 1.2 - Propriétés Nucléaires Cuve n°2</w:t>
      </w:r>
      <w:bookmarkEnd w:id="8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2A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Pour le Tc-99m produit par bombardement protonique de Mo-100 à 24 MeV :</w:t>
        <w:br/>
        <w:t xml:space="preserve">1. Identifie la chaîne de désintégration complète Tc-99m → Tc-99 → ... avec périodes</w:t>
        <w:br/>
        <w:t xml:space="preserve">2. Liste tous les rayonnements gamma émis (énergies keV, intensités %)</w:t>
        <w:br/>
        <w:t xml:space="preserve">3. Recherche dans NNDC les sections efficaces de production p(Mo-100,xn)Tc-99m</w:t>
        <w:br/>
        <w:t xml:space="preserve">4. Estime l'activité produite pour : 6h d'irradiation, 100 µA, 3 irradiations/semaine, 2 ruptures cibles/mois sur 5 ans</w:t>
        <w:br/>
        <w:t xml:space="preserve"/>
        <w:br/>
        <w:t xml:space="preserve">Cite les références NNDC et EXFOR utilisées.</w:t>
        <w:br/>
        <w:t xml:space="preserve"/>
      </w:r>
    </w:p>
    <w:p>
      <w:pPr>
        <w:spacing w:line="360" w:before="315" w:after="105" w:lineRule="auto"/>
        <w:ind w:left="-30"/>
        <w:jc w:val="left"/>
      </w:pPr>
      <w:bookmarkStart w:id="9" w:name="étape_1_3_propriétés_nucléaires_c_57932f"/>
      <w:r>
        <w:rPr>
          <w:rFonts w:eastAsia="inter" w:cs="inter" w:ascii="inter" w:hAnsi="inter"/>
          <w:b/>
          <w:color w:val="000000"/>
          <w:sz w:val="24"/>
        </w:rPr>
        <w:t xml:space="preserve">Étape 1.3 - Propriétés Nucléaires Cuve n°3 (Tritium)</w:t>
      </w:r>
      <w:bookmarkEnd w:id="9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3A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Pour la production de tritium (H-3) par activation de l'eau déionisée sous faisceau de protons :</w:t>
        <w:br/>
        <w:t xml:space="preserve">1. Identifie les réactions nucléaires possibles : O-16(p,x)H-3, O-17(p,x)H-3, O-18(p,x)H-3</w:t>
        <w:br/>
        <w:t xml:space="preserve">2. Recherche les sections efficaces dans EXFOR pour énergies 20-70 MeV</w:t>
        <w:br/>
        <w:t xml:space="preserve">3. Calcule l'activité tritium produite pour : 1h/opération, fréquence=1 par tir, 5 ans d'exploitation</w:t>
        <w:br/>
        <w:t xml:space="preserve">4. Identifie les risques spécifiques HTO (eau tritiée) : dose efficace inhalation, limites ASN/ICRP</w:t>
        <w:br/>
        <w:t xml:space="preserve"/>
        <w:br/>
        <w:t xml:space="preserve">Documente avec références NIST, AIEA et réglementation française ASN 2025.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0" w:name="phase_2_sections_efficaces_et_val_d10070"/>
      <w:r>
        <w:rPr>
          <w:rFonts w:eastAsia="inter" w:cs="inter" w:ascii="inter" w:hAnsi="inter"/>
          <w:b/>
          <w:color w:val="000000"/>
          <w:sz w:val="24"/>
        </w:rPr>
        <w:t xml:space="preserve">PHASE 2 : Sections Efficaces et Validation Production</w:t>
      </w:r>
      <w:bookmarkEnd w:id="10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4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Recherche dans les bases EXFOR (https://www.nndc.bnl.gov/exfor/) et TENDL les sections efficaces expérimentales pour :</w:t>
        <w:br/>
        <w:t xml:space="preserve">1. Rb(p,xn)Sr-82, Sr-83, Sr-85 pour protons 40-70 MeV</w:t>
        <w:br/>
        <w:t xml:space="preserve">2. Mo-100(p,2n)Tc-99m pour protons 20-30 MeV</w:t>
        <w:br/>
        <w:t xml:space="preserve">3. O-16,17,18(p,x)H-3 pour protons 20-70 MeV</w:t>
        <w:br/>
        <w:t xml:space="preserve"/>
        <w:br/>
        <w:t xml:space="preserve">Pour chaque réaction, fournis :</w:t>
        <w:br/>
        <w:t xml:space="preserve">- Valeurs σ(E) moyennes sur les plages d'énergie pertinentes</w:t>
        <w:br/>
        <w:t xml:space="preserve">- Références publications (auteurs, année, DOI)</w:t>
        <w:br/>
        <w:t xml:space="preserve">- Incertitudes expérimentales</w:t>
        <w:br/>
        <w:t xml:space="preserve">- Graphiques fonctions d'excitation si disponibles</w:t>
        <w:br/>
        <w:t xml:space="preserve"/>
        <w:br/>
        <w:t xml:space="preserve">Compare avec les valeurs du calculateur RYC ARRONAX (https://www.arronax-nantes.fr/outil-telechargement/outils-radionuclide-yield-calculator/).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1" w:name="phase_3_calculs_radioprotection_d_dcfdaa"/>
      <w:r>
        <w:rPr>
          <w:rFonts w:eastAsia="inter" w:cs="inter" w:ascii="inter" w:hAnsi="inter"/>
          <w:b/>
          <w:color w:val="000000"/>
          <w:sz w:val="24"/>
        </w:rPr>
        <w:t xml:space="preserve">PHASE 3 : Calculs Radioprotection - Débits de Dose</w:t>
      </w:r>
      <w:bookmarkEnd w:id="11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5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Pour le calcul des débits de dose photons (source ponctuelle) dans la salle des cuves (dimensions 21,598m × 10,2m × 3,749m) :</w:t>
        <w:br/>
        <w:t xml:space="preserve"/>
        <w:br/>
        <w:t xml:space="preserve">1. Récupère depuis NIST (https://www.nist.gov/pml/x-ray-mass-attenuation-coefficients) les coefficients d'atténuation linéaire μ (cm⁻¹) pour l'acier et le béton aux énergies gamma identifiées en Phase 1</w:t>
        <w:br/>
        <w:t xml:space="preserve">2. Recherche les facteurs de build-up pour acier (épaisseur 4 mm cuves, 1375 mm murs béton) depuis http://www.radprocalculator.com/Files/ShieldingandBuildup.pdf</w:t>
        <w:br/>
        <w:t xml:space="preserve">3. Applique la formule : dD/dt = (A·E·I·10⁻³)/d² avec atténuation I_B = I_A·b·exp(-μx)</w:t>
        <w:br/>
        <w:t xml:space="preserve"/>
        <w:br/>
        <w:t xml:space="preserve">Calcule les débits de dose (mSv/h) à 1m, 2m, 5m de chaque cuve, en considérant les activités validées Phase 1-2. Présente en tableau avec citations.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6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Compare les calculs manuels de débit de dose (Prompt 5) avec :</w:t>
        <w:br/>
        <w:t xml:space="preserve">1. Méthodologie du logiciel DEM+ (recherche documentation technique, guides utilisateurs)</w:t>
        <w:br/>
        <w:t xml:space="preserve">2. Standards AIEA pour zonage radiologique (zones surveillée, contrôlée, interdite) selon doses instantanées et intégrées</w:t>
        <w:br/>
        <w:t xml:space="preserve">3. Réglementation française ASN 2025 : limites public (1 mSv/an), travailleurs (20 mSv/an), ALARA</w:t>
        <w:br/>
        <w:t xml:space="preserve"/>
        <w:br/>
        <w:t xml:space="preserve">Identifie les écarts méthodologiques et recommande les hypothèses conservatrices à retenir.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2" w:name="phase_4_zonage_radiologique_et_ca_81c911"/>
      <w:r>
        <w:rPr>
          <w:rFonts w:eastAsia="inter" w:cs="inter" w:ascii="inter" w:hAnsi="inter"/>
          <w:b/>
          <w:color w:val="000000"/>
          <w:sz w:val="24"/>
        </w:rPr>
        <w:t xml:space="preserve">PHASE 4 : Zonage Radiologique et Cartographie</w:t>
      </w:r>
      <w:bookmarkEnd w:id="12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7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À partir des débits de dose calculés (Phase 3), établis le zonage réglementaire de la cellule 241B selon :</w:t>
        <w:br/>
        <w:t xml:space="preserve">1. Arrêté français du 15 mai 2006 modifié (zonage radiologique zones 0, surveillée, contrôlée, spécialement réglementée)</w:t>
        <w:br/>
        <w:t xml:space="preserve">2. Norme ISO 13679 (zonage installations nucléaires)</w:t>
        <w:br/>
        <w:t xml:space="preserve">3. Guide ASN n°22 (démantèlement installations nucléaires 2025)</w:t>
        <w:br/>
        <w:t xml:space="preserve"/>
        <w:br/>
        <w:t xml:space="preserve">Fournis :</w:t>
        <w:br/>
        <w:t xml:space="preserve">- Cartographie 2D annotée avec isodoses (0,025 mSv/h, 0,08 mSv/h, 2 mSv/h, 100 mSv/h)</w:t>
        <w:br/>
        <w:t xml:space="preserve">- Justification des limites de zones avec calculs de doses intégrées (exposition 1h, 8h, 40h/semaine)</w:t>
        <w:br/>
        <w:t xml:space="preserve">- Équipements de protection requis par zone (dosimètres, vêtements, protections respiratoires)</w:t>
        <w:br/>
        <w:t xml:space="preserve"/>
        <w:br/>
        <w:t xml:space="preserve">Cite les références réglementaires.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3" w:name="phase_5_scénarios_démantèlement_e_c872b7"/>
      <w:r>
        <w:rPr>
          <w:rFonts w:eastAsia="inter" w:cs="inter" w:ascii="inter" w:hAnsi="inter"/>
          <w:b/>
          <w:color w:val="000000"/>
          <w:sz w:val="24"/>
        </w:rPr>
        <w:t xml:space="preserve">PHASE 5 : Scénarios Démantèlement et Optimisation</w:t>
      </w:r>
      <w:bookmarkEnd w:id="13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8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Recherche les meilleures pratiques de démantèlement d'installations nucléaires contaminées tritium (cuve n°3) selon :</w:t>
        <w:br/>
        <w:t xml:space="preserve">1. Guides AIEA TECDOC récents (2020-2025) sur démantèlement cuves tritium</w:t>
        <w:br/>
        <w:t xml:space="preserve">2. Retours d'expérience démantèlement cyclotrons (CEA, PSI Suisse, TRIUMF Canada)</w:t>
        <w:br/>
        <w:t xml:space="preserve">3. Normes ISO 11932 (gestion activité tritium) et ISO 21877 (déchets radioactifs)</w:t>
        <w:br/>
        <w:t xml:space="preserve"/>
        <w:br/>
        <w:t xml:space="preserve">Pour chaque scénario identifié, analyse :</w:t>
        <w:br/>
        <w:t xml:space="preserve">- Coût estimé (€/m³ déchets, €/h intervention)</w:t>
        <w:br/>
        <w:t xml:space="preserve">- Doses collectives prévisionnelles (homme-mSv)</w:t>
        <w:br/>
        <w:t xml:space="preserve">- Durée intervention</w:t>
        <w:br/>
        <w:t xml:space="preserve">- Volumes déchets (TFA, FA-VL, FA, MA-VL) et filières ANDRA</w:t>
        <w:br/>
        <w:t xml:space="preserve">- Impact activité site (arrêt production, accès)</w:t>
        <w:br/>
        <w:t xml:space="preserve"/>
        <w:br/>
        <w:t xml:space="preserve">Classe les scénarios selon score pondéré : technique 40%, financier 40%, impact 20%.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9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Pour le principe ALARA appliqué au démantèlement cellule 241B :</w:t>
        <w:br/>
        <w:t xml:space="preserve">1. Recherche les dernières recommandations CIPR/ICRP 2023-2025 sur optimisation doses démantèlement</w:t>
        <w:br/>
        <w:t xml:space="preserve">2. Identifie les techniques innovantes de décontamination in-situ (électrolyse eau tritiée, procédés chimiques cuves Sr/Rb/Tc)</w:t>
        <w:br/>
        <w:t xml:space="preserve">3. Compare avantages/inconvénients : découpe in-situ vs extraction intégrale cuves vs traitement sur site vs évacuation immédiate</w:t>
        <w:br/>
        <w:t xml:space="preserve"/>
        <w:br/>
        <w:t xml:space="preserve">Propose 3 scénarios détaillés avec justifications ALARA, coûts différentiels et analyses de sensibilité (variations ±20% activités).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4" w:name="phase_6_validation_réglementaire_7b3974"/>
      <w:r>
        <w:rPr>
          <w:rFonts w:eastAsia="inter" w:cs="inter" w:ascii="inter" w:hAnsi="inter"/>
          <w:b/>
          <w:color w:val="000000"/>
          <w:sz w:val="24"/>
        </w:rPr>
        <w:t xml:space="preserve">PHASE 6 : Validation Réglementaire et Conformité</w:t>
      </w:r>
      <w:bookmarkEnd w:id="14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10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Vérifie la conformité réglementaire française du projet démantèlement selon :</w:t>
        <w:br/>
        <w:t xml:space="preserve">1. Code de la santé publique (articles R1333-1 à R1333-178, révision 2024)</w:t>
        <w:br/>
        <w:t xml:space="preserve">2. Code de l'environnement (gestion déchets radioactifs, articles L542-1 à L542-14)</w:t>
        <w:br/>
        <w:t xml:space="preserve">3. Arrêté du 23 octobre 2024 relatif à la protection contre les rayonnements ionisants</w:t>
        <w:br/>
        <w:t xml:space="preserve">4. Guides ASN n°6 (études de sûreté), n°22 (démantèlement), n°27 (déchets)</w:t>
        <w:br/>
        <w:t xml:space="preserve"/>
        <w:br/>
        <w:t xml:space="preserve">Liste les documents administratifs obligatoires :</w:t>
        <w:br/>
        <w:t xml:space="preserve">- Demande d'autorisation de démantèlement (contenu réglementaire)</w:t>
        <w:br/>
        <w:t xml:space="preserve">- Étude de sûreté et radioprotection</w:t>
        <w:br/>
        <w:t xml:space="preserve">- Plan de gestion déchets</w:t>
        <w:br/>
        <w:t xml:space="preserve">- Programme de surveillance environnementale</w:t>
        <w:br/>
        <w:t xml:space="preserve"/>
        <w:br/>
        <w:t xml:space="preserve">Fournis checklist conformité avec références articles de loi.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5" w:name="phase_7_gestion_projet_et_livrables"/>
      <w:r>
        <w:rPr>
          <w:rFonts w:eastAsia="inter" w:cs="inter" w:ascii="inter" w:hAnsi="inter"/>
          <w:b/>
          <w:color w:val="000000"/>
          <w:sz w:val="24"/>
        </w:rPr>
        <w:t xml:space="preserve">PHASE 7 : Gestion Projet et Livrables</w:t>
      </w:r>
      <w:bookmarkEnd w:id="15"/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11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Pour la gestion de projet selon méthodologie Master IMT Nantes :</w:t>
        <w:br/>
        <w:t xml:space="preserve">1. Recherche les meilleures pratiques gestion projets nucléaires (PMBOK Guide nuclear projects, PRINCE2 nuclear industry)</w:t>
        <w:br/>
        <w:t xml:space="preserve">2. Construis un diagramme de Gantt détaillé (phases, tâches, jalons, dépendances) pour période septembre 2024 - février 2025 avec jalons :</w:t>
        <w:br/>
        <w:t xml:space="preserve">   - 04/11/2024 : Méthodologie cuve n°1</w:t>
        <w:br/>
        <w:t xml:space="preserve">   - 09/12/2024 : Zonage</w:t>
        <w:br/>
        <w:t xml:space="preserve">   - 10/12/2024 : Scénarios</w:t>
        <w:br/>
        <w:t xml:space="preserve">   - 13/02/2025 : Dossier final</w:t>
        <w:br/>
        <w:t xml:space="preserve">3. Identifie les risques projet (retards calculs, accès bases de données, coordination équipe) avec plans mitigation</w:t>
        <w:br/>
        <w:t xml:space="preserve">4. Définis indicateurs performance (KPI) : respect délais, qualité livrables, complétude documentaire</w:t>
        <w:br/>
        <w:t xml:space="preserve"/>
        <w:br/>
        <w:t xml:space="preserve">Présente sous forme de plan projet professionnel avec WBS (Work Breakdown Structure).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b/>
          <w:color w:val="000000"/>
        </w:rPr>
        <w:t xml:space="preserve">Prompt 12 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Rédige la structure détaillée du dossier final réponse appel d'offres ARRONAX selon standards professionnels ingénierie nucléaire :</w:t>
        <w:br/>
        <w:t xml:space="preserve"/>
        <w:br/>
        <w:t xml:space="preserve">1. Résumé exécutif (2 pages max)</w:t>
        <w:br/>
        <w:t xml:space="preserve">2. Présentation société MARS et références</w:t>
        <w:br/>
        <w:t xml:space="preserve">3. Méthodologie technique (calculs, hypothèses, validations)</w:t>
        <w:br/>
        <w:t xml:space="preserve">4. Résultats : compositions cuves, zonage, cartographie doses</w:t>
        <w:br/>
        <w:t xml:space="preserve">5. Scénarios démantèlement (3 scénarios comparés)</w:t>
        <w:br/>
        <w:t xml:space="preserve">6. Recommandation scénario optimal (argumentation multicritères)</w:t>
        <w:br/>
        <w:t xml:space="preserve">7. Planning prévisionnel Gantt</w:t>
        <w:br/>
        <w:t xml:space="preserve">8. Aspects financiers (devis détaillé)</w:t>
        <w:br/>
        <w:t xml:space="preserve">9. Conformité réglementaire</w:t>
        <w:br/>
        <w:t xml:space="preserve">10. Annexes techniques (calculs, références, certificats)</w:t>
        <w:br/>
        <w:t xml:space="preserve"/>
        <w:br/>
        <w:t xml:space="preserve">Pour chaque section, fournis :</w:t>
        <w:br/>
        <w:t xml:space="preserve">- Contenu attendu (300 mots/section)</w:t>
        <w:br/>
        <w:t xml:space="preserve">- Figures/tableaux types</w:t>
        <w:br/>
        <w:t xml:space="preserve">- Références réglementaires/scientifiques à citer</w:t>
        <w:br/>
        <w:t xml:space="preserve"/>
        <w:br/>
        <w:t xml:space="preserve">Cite les guides rédaction propositions techniques nucléaires (SFEN, WNA).</w:t>
        <w:br/>
        <w:t xml:space="preserve"/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6" w:name="action_exécution_séquentielle_des_9f4599"/>
      <w:r>
        <w:rPr>
          <w:rFonts w:eastAsia="inter" w:cs="inter" w:ascii="inter" w:hAnsi="inter"/>
          <w:b/>
          <w:color w:val="000000"/>
          <w:sz w:val="24"/>
        </w:rPr>
        <w:t xml:space="preserve">ACTION : Exécution Séquentielle des Prompts</w:t>
      </w:r>
      <w:bookmarkEnd w:id="16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Utiliser </w:t>
      </w:r>
      <w:hyperlink r:id="rId11">
        <w:r>
          <w:rPr>
            <w:rFonts w:eastAsia="inter" w:cs="inter" w:ascii="inter" w:hAnsi="inter"/>
            <w:color w:val="#000"/>
            <w:u w:val="single"/>
          </w:rPr>
          <w:t xml:space="preserve">Perplexity.ai</w:t>
        </w:r>
      </w:hyperlink>
      <w:r>
        <w:rPr>
          <w:rFonts w:eastAsia="inter" w:cs="inter" w:ascii="inter" w:hAnsi="inter"/>
          <w:color w:val="000000"/>
        </w:rPr>
        <w:t xml:space="preserve"> en mode Pro/recherche approfondie pour chaque prompt dans l'ordre 1A→12, en attachant systématiquement les résultats précédents comme contexte pour les prompts suivants. Documenter chaque output avec horodatage et version sources.</w:t>
      </w:r>
      <w:bookmarkStart w:id="17" w:name="fnref1_2"/>
      <w:bookmarkEnd w:id="17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bookmarkStart w:id="18" w:name="fnref2_2"/>
      <w:bookmarkEnd w:id="18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19" w:name="observation_validation_croisée_et_a06c05"/>
      <w:r>
        <w:rPr>
          <w:rFonts w:eastAsia="inter" w:cs="inter" w:ascii="inter" w:hAnsi="inter"/>
          <w:b/>
          <w:color w:val="000000"/>
          <w:sz w:val="24"/>
        </w:rPr>
        <w:t xml:space="preserve">OBSERVATION : Validation Croisée et Qualité</w:t>
      </w:r>
      <w:bookmarkEnd w:id="19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Après chaque phase, vérifier :</w:t>
      </w:r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Cohérence données</w:t>
      </w:r>
      <w:r>
        <w:rPr>
          <w:rFonts w:eastAsia="inter" w:cs="inter" w:ascii="inter" w:hAnsi="inter"/>
          <w:color w:val="000000"/>
          <w:sz w:val="21"/>
        </w:rPr>
        <w:t xml:space="preserve"> : Comparaison multi-sources (NNDC vs TENDL, calculs manuels vs DEM+)</w:t>
      </w:r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Actualité références</w:t>
      </w:r>
      <w:r>
        <w:rPr>
          <w:rFonts w:eastAsia="inter" w:cs="inter" w:ascii="inter" w:hAnsi="inter"/>
          <w:color w:val="000000"/>
          <w:sz w:val="21"/>
        </w:rPr>
        <w:t xml:space="preserve"> : Priorité publications/normes 2023-2025</w:t>
      </w:r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Complétude</w:t>
      </w:r>
      <w:r>
        <w:rPr>
          <w:rFonts w:eastAsia="inter" w:cs="inter" w:ascii="inter" w:hAnsi="inter"/>
          <w:color w:val="000000"/>
          <w:sz w:val="21"/>
        </w:rPr>
        <w:t xml:space="preserve"> : Checklist par phase (toutes données nécessaires collectées)</w:t>
      </w:r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Traçabilité</w:t>
      </w:r>
      <w:r>
        <w:rPr>
          <w:rFonts w:eastAsia="inter" w:cs="inter" w:ascii="inter" w:hAnsi="inter"/>
          <w:color w:val="000000"/>
          <w:sz w:val="21"/>
        </w:rPr>
        <w:t xml:space="preserve"> : Citations précises avec URLs/DOI accessibles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Si incohérences ou manques détectés : créer prompts correctifs ciblés (ex. : "Explique l'écart de 15% entre section efficace EXFOR vs TENDL pour réaction X").</w:t>
      </w:r>
      <w:bookmarkStart w:id="20" w:name="fnref2_3"/>
      <w:bookmarkEnd w:id="20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  <w:bookmarkStart w:id="21" w:name="fnref1_3"/>
      <w:bookmarkEnd w:id="21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p>
      <w:pPr>
        <w:spacing w:line="360" w:before="315" w:after="105" w:lineRule="auto"/>
        <w:ind w:left="-30"/>
        <w:jc w:val="left"/>
      </w:pPr>
      <w:bookmarkStart w:id="22" w:name="réponse_finale_synthèse_méthodologique"/>
      <w:r>
        <w:rPr>
          <w:rFonts w:eastAsia="inter" w:cs="inter" w:ascii="inter" w:hAnsi="inter"/>
          <w:b/>
          <w:color w:val="000000"/>
          <w:sz w:val="24"/>
        </w:rPr>
        <w:t xml:space="preserve">RÉPONSE FINALE : Synthèse Méthodologique</w:t>
      </w:r>
      <w:bookmarkEnd w:id="22"/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Cette approche structurée en 12 prompts exploite les forces de </w:t>
      </w:r>
      <w:hyperlink r:id="rId12">
        <w:r>
          <w:rPr>
            <w:rFonts w:eastAsia="inter" w:cs="inter" w:ascii="inter" w:hAnsi="inter"/>
            <w:color w:val="#000"/>
            <w:u w:val="single"/>
          </w:rPr>
          <w:t xml:space="preserve">Perplexity.ai</w:t>
        </w:r>
      </w:hyperlink>
      <w:r>
        <w:rPr>
          <w:rFonts w:eastAsia="inter" w:cs="inter" w:ascii="inter" w:hAnsi="inter"/>
          <w:color w:val="000000"/>
        </w:rPr>
        <w:t xml:space="preserve"> (recherche temps réel, bases de données scientifiques, actualité réglementaire) tout en compensant ses limites (absence calculs natifs complexes → orienter vers méthodologies validées). La séquentialité garantit que chaque phase s'appuie sur des fondations solides, réduisant les erreurs propagées. L'intégration systématique des citations et la validation croisée multi-sources assurent la robustesse académique niveau Master 2. Le respect de la chronologie projet (jalons novembre-février) est assuré par l'exécution parallélisable des prompts par binômes radioprotection/démantèlement, avec synchronisation aux jalons via prompts transversaux (6, 9, 11).</w:t>
      </w:r>
      <w:bookmarkStart w:id="23" w:name="fnref1_4"/>
      <w:bookmarkEnd w:id="23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bookmarkStart w:id="24" w:name="fnref2_4"/>
      <w:bookmarkEnd w:id="24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</w:p>
    <w:p>
      <w:pPr>
        <w:spacing w:line="360" w:lineRule="auto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bookmarkStart w:id="25" w:name="fn1"/>
    <w:bookmarkEnd w:id="25"/>
    <w:p>
      <w:pPr>
        <w:numPr>
          <w:ilvl w:val="0"/>
          <w:numId w:val="3"/>
        </w:numPr>
        <w:spacing w:line="360" w:after="210" w:lineRule="auto"/>
      </w:pPr>
      <w:r>
        <w:rPr>
          <w:rFonts w:eastAsia="inter" w:cs="inter" w:ascii="inter" w:hAnsi="inter"/>
          <w:color w:val="000000"/>
          <w:sz w:val="18"/>
        </w:rPr>
        <w:t xml:space="preserve">Domaine-_-Ingenierie-nucleaire-gestion-de-projet.docx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26" w:name="fn2"/>
    <w:bookmarkEnd w:id="26"/>
    <w:p>
      <w:pPr>
        <w:numPr>
          <w:ilvl w:val="0"/>
          <w:numId w:val="3"/>
        </w:numPr>
        <w:spacing w:line="360" w:after="210" w:lineRule="auto"/>
      </w:pPr>
      <w:r>
        <w:rPr>
          <w:rFonts w:eastAsia="inter" w:cs="inter" w:ascii="inter" w:hAnsi="inter"/>
          <w:color w:val="000000"/>
          <w:sz w:val="18"/>
        </w:rPr>
        <w:t xml:space="preserve">Synthese-Contextuelle.docx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sectPr>
      <w:pgSz w:w="12240" w:h="15840" w:orient="portrait"/>
      <w:pgMar w:top="1365" w:right="1365" w:bottom="1365" w:left="1365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ter">
    <w:family w:val="auto"/>
    <w:pitch w:val="variable"/>
  </w:font>
  <w:font w:name="ibm plex mono">
    <w:family w:val="auto"/>
    <w:pitch w:val="variable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>
  <w:abstractNum w:abstractNumId="1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">
    <w:multiLevelType w:val="hybridMultilevel"/>
  </w:abstractNum>
  <w:abstractNum w:abstractNumId="3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Georgia" w:eastAsiaTheme="minorHAnsi" w:hAnsiTheme="minorHAnsi" w:cstheme="minorBidi"/>
        <w:sz w:val="21"/>
        <w:szCs w:val="22"/>
        <w:lang w:val="fr-FR" w:eastAsia="en-US" w:bidi="ar-SA"/>
      </w:rPr>
    </w:rPrDefault>
    <w:pPrDefault>
      <w:pPr>
        <w:spacing w:after="120" w:line="240" w:lineRule="atLeast"/>
      </w:pPr>
    </w:pPrDefault>
  </w:docDefaults>
  <w:style w:type="paragraph" w:default="1" w:styleId="Normal">
    <w:name w:val="Normal"/>
    <w:next w:val="Normal"/>
    <w:pPr/>
    <w:rPr>
      <w:rFonts w:ascii="Georgia" w:eastAsiaTheme="minorHAnsi" w:hAnsiTheme="minorHAnsi" w:cstheme="minorBidi"/>
      <w:sz w:val="21"/>
      <w:szCs w:val="22"/>
      <w:lang w:val="fr-FR" w:eastAsia="en-US" w:bidi="ar-SA"/>
    </w:rPr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-5d51575e983286eaf2e49201855119a8bebb3151.png" TargetMode="Internal"/><Relationship Id="rId6" Type="http://schemas.openxmlformats.org/officeDocument/2006/relationships/hyperlink" Target="http://Perplexity.ai" TargetMode="External"/><Relationship Id="rId7" Type="http://schemas.openxmlformats.org/officeDocument/2006/relationships/hyperlink" Target="http://Perplexity.ai" TargetMode="External"/><Relationship Id="rId8" Type="http://schemas.openxmlformats.org/officeDocument/2006/relationships/hyperlink" Target="http://Perplexity.ai" TargetMode="External"/><Relationship Id="rId9" Type="http://schemas.openxmlformats.org/officeDocument/2006/relationships/hyperlink" Target="http://Perplexity.ai" TargetMode="External"/><Relationship Id="rId10" Type="http://schemas.openxmlformats.org/officeDocument/2006/relationships/hyperlink" Target="http://Perplexity.ai" TargetMode="External"/><Relationship Id="rId11" Type="http://schemas.openxmlformats.org/officeDocument/2006/relationships/hyperlink" Target="http://Perplexity.ai" TargetMode="External"/><Relationship Id="rId12" Type="http://schemas.openxmlformats.org/officeDocument/2006/relationships/hyperlink" Target="http://Perplexity.ai" TargetMode="External"/></Relationship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html-to-docx</cp:lastModifiedBy>
  <cp:revision>1</cp:revision>
  <dcterms:created xsi:type="dcterms:W3CDTF">2025-11-05T07:38:42.195Z</dcterms:created>
  <dcterms:modified xsi:type="dcterms:W3CDTF">2025-11-05T07:38:42.195Z</dcterms:modified>
</cp:coreProperties>
</file>